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7F7" w:rsidRPr="005F6456" w:rsidRDefault="005F6456">
      <w:pPr>
        <w:rPr>
          <w:rFonts w:ascii="標楷體" w:eastAsia="標楷體" w:hAnsi="標楷體"/>
          <w:sz w:val="32"/>
          <w:szCs w:val="32"/>
        </w:rPr>
      </w:pPr>
      <w:r w:rsidRPr="005F6456">
        <w:rPr>
          <w:rFonts w:ascii="標楷體" w:eastAsia="標楷體" w:hAnsi="標楷體" w:hint="eastAsia"/>
          <w:sz w:val="32"/>
          <w:szCs w:val="32"/>
        </w:rPr>
        <w:t>106</w:t>
      </w:r>
      <w:r w:rsidR="0098697B">
        <w:rPr>
          <w:rFonts w:ascii="標楷體" w:eastAsia="標楷體" w:hAnsi="標楷體" w:hint="eastAsia"/>
          <w:sz w:val="32"/>
          <w:szCs w:val="32"/>
        </w:rPr>
        <w:t>學年度九</w:t>
      </w:r>
      <w:r w:rsidRPr="005F6456">
        <w:rPr>
          <w:rFonts w:ascii="標楷體" w:eastAsia="標楷體" w:hAnsi="標楷體" w:hint="eastAsia"/>
          <w:sz w:val="32"/>
          <w:szCs w:val="32"/>
        </w:rPr>
        <w:t>年</w:t>
      </w:r>
      <w:r w:rsidR="0098697B">
        <w:rPr>
          <w:rFonts w:ascii="標楷體" w:eastAsia="標楷體" w:hAnsi="標楷體" w:hint="eastAsia"/>
          <w:sz w:val="32"/>
          <w:szCs w:val="32"/>
        </w:rPr>
        <w:t>級上</w:t>
      </w:r>
      <w:r w:rsidRPr="005F6456">
        <w:rPr>
          <w:rFonts w:ascii="標楷體" w:eastAsia="標楷體" w:hAnsi="標楷體" w:hint="eastAsia"/>
          <w:sz w:val="32"/>
          <w:szCs w:val="32"/>
        </w:rPr>
        <w:t>學期 社會領域-地理家庭教育學習單</w:t>
      </w:r>
    </w:p>
    <w:p w:rsidR="00E618FD" w:rsidRDefault="00E618FD" w:rsidP="00E618FD">
      <w:pPr>
        <w:rPr>
          <w:rFonts w:ascii="標楷體" w:eastAsia="標楷體" w:hAnsi="標楷體"/>
        </w:rPr>
      </w:pPr>
      <w:r>
        <w:rPr>
          <w:noProof/>
        </w:rPr>
        <mc:AlternateContent>
          <mc:Choice Requires="wps">
            <w:drawing>
              <wp:anchor distT="0" distB="0" distL="114300" distR="114300" simplePos="0" relativeHeight="251659264" behindDoc="0" locked="0" layoutInCell="1" allowOverlap="1">
                <wp:simplePos x="0" y="0"/>
                <wp:positionH relativeFrom="column">
                  <wp:posOffset>17890</wp:posOffset>
                </wp:positionH>
                <wp:positionV relativeFrom="paragraph">
                  <wp:posOffset>210710</wp:posOffset>
                </wp:positionV>
                <wp:extent cx="5645150" cy="2973787"/>
                <wp:effectExtent l="0" t="0" r="12700" b="17145"/>
                <wp:wrapNone/>
                <wp:docPr id="3" name="矩形 3"/>
                <wp:cNvGraphicFramePr/>
                <a:graphic xmlns:a="http://schemas.openxmlformats.org/drawingml/2006/main">
                  <a:graphicData uri="http://schemas.microsoft.com/office/word/2010/wordprocessingShape">
                    <wps:wsp>
                      <wps:cNvSpPr/>
                      <wps:spPr>
                        <a:xfrm>
                          <a:off x="0" y="0"/>
                          <a:ext cx="5645150" cy="297378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8FD" w:rsidRDefault="00E618FD" w:rsidP="00E618FD">
                            <w:pPr>
                              <w:pStyle w:val="Web"/>
                              <w:shd w:val="clear" w:color="auto" w:fill="FFFFFF"/>
                              <w:spacing w:before="0" w:beforeAutospacing="0" w:after="0" w:afterAutospacing="0" w:line="340" w:lineRule="exact"/>
                              <w:ind w:firstLineChars="150" w:firstLine="45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美國司法部3月起訴加州庇護政策，指有三項州法違憲，如禁止地方司法人員在遭到羈押的</w:t>
                            </w:r>
                            <w:hyperlink r:id="rId5" w:history="1">
                              <w:r>
                                <w:rPr>
                                  <w:rStyle w:val="a5"/>
                                  <w:rFonts w:ascii="Meiryo" w:eastAsia="Meiryo" w:hAnsi="Meiryo" w:cs="Meiryo" w:hint="eastAsia"/>
                                  <w:b w:val="0"/>
                                  <w:bCs w:val="0"/>
                                  <w:color w:val="888888"/>
                                  <w:spacing w:val="15"/>
                                  <w:sz w:val="27"/>
                                  <w:szCs w:val="27"/>
                                  <w:u w:val="single"/>
                                </w:rPr>
                                <w:t>移民</w:t>
                              </w:r>
                            </w:hyperlink>
                            <w:r>
                              <w:rPr>
                                <w:rFonts w:ascii="Meiryo" w:eastAsia="Meiryo" w:hAnsi="Meiryo" w:cs="Meiryo" w:hint="eastAsia"/>
                                <w:color w:val="444444"/>
                                <w:spacing w:val="15"/>
                                <w:sz w:val="27"/>
                                <w:szCs w:val="27"/>
                              </w:rPr>
                              <w:t>即將獲釋時通知聯邦官員，並禁止地方官員在沒有令狀下把移民移交給聯邦設施。禁止雇主讓聯邦探員進入非公共空間，或沒有令狀即扣留員工紀錄。規定加州檢察長必須視察聯邦司法官員用以羈押移民的設施。屋崙市府律師派克（Barbara J. Parker）表示，屋崙、洛杉磯和聖他克拉拉縣等22個地方政府機構最近在加州東區地方法院提交一份非當事人意見陳述（amicus brief</w:t>
                            </w:r>
                            <w:r>
                              <w:rPr>
                                <w:rFonts w:ascii="Meiryo" w:eastAsia="Meiryo" w:hAnsi="Meiryo" w:cs="Meiryo" w:hint="eastAsia"/>
                                <w:color w:val="444444"/>
                                <w:spacing w:val="15"/>
                                <w:sz w:val="27"/>
                                <w:szCs w:val="27"/>
                              </w:rPr>
                              <w:t>），支持加州的庇護政策。</w:t>
                            </w:r>
                            <w:r>
                              <w:rPr>
                                <w:rStyle w:val="a5"/>
                                <w:rFonts w:ascii="Meiryo" w:eastAsia="Meiryo" w:hAnsi="Meiryo" w:cs="Meiryo" w:hint="eastAsia"/>
                                <w:b w:val="0"/>
                                <w:bCs w:val="0"/>
                                <w:color w:val="888888"/>
                                <w:spacing w:val="15"/>
                                <w:sz w:val="27"/>
                                <w:szCs w:val="27"/>
                                <w:u w:val="single"/>
                              </w:rPr>
                              <w:t>川普</w:t>
                            </w:r>
                            <w:r>
                              <w:rPr>
                                <w:rFonts w:ascii="Meiryo" w:eastAsia="Meiryo" w:hAnsi="Meiryo" w:cs="Meiryo" w:hint="eastAsia"/>
                                <w:color w:val="444444"/>
                                <w:spacing w:val="15"/>
                                <w:sz w:val="27"/>
                                <w:szCs w:val="27"/>
                              </w:rPr>
                              <w:t>這份陳述意見支持加州對三部州法的捍衛。認為加州聚焦全州和地方的資源而非順從聯邦的移民法律來加強執法，以保護全州居民的健康、福利和安全。這些法律反映整個州的地方官員的判斷，即無論移民身份如何，庇護政策幫助警局加強整個社區的安全，讓居民舉報犯罪和目擊情況。</w:t>
                            </w:r>
                          </w:p>
                          <w:p w:rsidR="00E618FD" w:rsidRDefault="00E618FD" w:rsidP="00E618FD">
                            <w:pPr>
                              <w:pStyle w:val="Web"/>
                              <w:shd w:val="clear" w:color="auto" w:fill="FFFFFF"/>
                              <w:spacing w:before="300" w:beforeAutospacing="0" w:after="300" w:afterAutospacing="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陳述意見說，多元化社區能平等的參與公民生活，不僅意味著更安全，而且更健康，更繁榮。透過提交意見，加州各地的地方和官員從最大的縣到最小的城市，都表明他們支持更有效的警務安排和合理的公共政策。</w:t>
                            </w:r>
                          </w:p>
                          <w:p w:rsidR="00E618FD" w:rsidRDefault="00E618FD" w:rsidP="00E618FD">
                            <w:pPr>
                              <w:pStyle w:val="Web"/>
                              <w:shd w:val="clear" w:color="auto" w:fill="FFFFFF"/>
                              <w:spacing w:before="300" w:beforeAutospacing="0" w:after="300" w:afterAutospacing="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22個地方政府機構包括：阿拉米達縣、</w:t>
                            </w:r>
                            <w:hyperlink r:id="rId6" w:history="1">
                              <w:r>
                                <w:rPr>
                                  <w:rStyle w:val="a5"/>
                                  <w:rFonts w:ascii="Meiryo" w:eastAsia="Meiryo" w:hAnsi="Meiryo" w:cs="Meiryo" w:hint="eastAsia"/>
                                  <w:b w:val="0"/>
                                  <w:bCs w:val="0"/>
                                  <w:color w:val="888888"/>
                                  <w:spacing w:val="15"/>
                                  <w:sz w:val="27"/>
                                  <w:szCs w:val="27"/>
                                  <w:u w:val="single"/>
                                </w:rPr>
                                <w:t>柏克萊</w:t>
                              </w:r>
                            </w:hyperlink>
                            <w:r>
                              <w:rPr>
                                <w:rFonts w:ascii="Meiryo" w:eastAsia="Meiryo" w:hAnsi="Meiryo" w:cs="Meiryo" w:hint="eastAsia"/>
                                <w:color w:val="444444"/>
                                <w:spacing w:val="15"/>
                                <w:sz w:val="27"/>
                                <w:szCs w:val="27"/>
                              </w:rPr>
                              <w:t>市、艾伯尼市、列治文市、聖荷西市及聖他克魯茲縣等。</w:t>
                            </w:r>
                          </w:p>
                          <w:p w:rsidR="00E618FD" w:rsidRPr="00E618FD" w:rsidRDefault="00E618FD" w:rsidP="00E618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3" o:spid="_x0000_s1026" style="position:absolute;margin-left:1.4pt;margin-top:16.6pt;width:444.5pt;height:23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" fillcolor="white [3212]" strokecolor="white [3212]" strokeweight="1pt">
                <v:textbox>
                  <w:txbxContent>
                    <w:p w:rsidR="00E618FD" w:rsidRDefault="00E618FD" w:rsidP="00E618FD">
                      <w:pPr>
                        <w:pStyle w:val="Web"/>
                        <w:shd w:val="clear" w:color="auto" w:fill="FFFFFF"/>
                        <w:spacing w:before="0" w:beforeAutospacing="0" w:after="0" w:afterAutospacing="0" w:line="340" w:lineRule="exact"/>
                        <w:ind w:firstLineChars="150" w:firstLine="45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美國司法部3月起訴加州庇護政策，指有三項州法違憲，如禁止地方司法人員在遭到羈押的</w:t>
                      </w:r>
                      <w:hyperlink r:id="rId7" w:history="1">
                        <w:r>
                          <w:rPr>
                            <w:rStyle w:val="a5"/>
                            <w:rFonts w:ascii="Meiryo" w:eastAsia="Meiryo" w:hAnsi="Meiryo" w:cs="Meiryo" w:hint="eastAsia"/>
                            <w:b w:val="0"/>
                            <w:bCs w:val="0"/>
                            <w:color w:val="888888"/>
                            <w:spacing w:val="15"/>
                            <w:sz w:val="27"/>
                            <w:szCs w:val="27"/>
                            <w:u w:val="single"/>
                          </w:rPr>
                          <w:t>移民</w:t>
                        </w:r>
                      </w:hyperlink>
                      <w:r>
                        <w:rPr>
                          <w:rFonts w:ascii="Meiryo" w:eastAsia="Meiryo" w:hAnsi="Meiryo" w:cs="Meiryo" w:hint="eastAsia"/>
                          <w:color w:val="444444"/>
                          <w:spacing w:val="15"/>
                          <w:sz w:val="27"/>
                          <w:szCs w:val="27"/>
                        </w:rPr>
                        <w:t>即將獲釋時通知聯邦官員，並禁止地方官員在沒有令狀下把移民移交給聯邦設施。禁止雇主讓聯邦探員進入非公共空間，或沒有令狀即扣留員工紀錄。規定加州檢察長必須視察聯邦司法官員用以羈押移民的設施。屋崙市府律師派克（Barbara J. Parker）表示，屋崙、洛杉磯和聖他克拉拉縣等22個地方政府機構最近在加州東區地方法院提交一份非當事人意見陳述（amicus brief</w:t>
                      </w:r>
                      <w:r>
                        <w:rPr>
                          <w:rFonts w:ascii="Meiryo" w:eastAsia="Meiryo" w:hAnsi="Meiryo" w:cs="Meiryo" w:hint="eastAsia"/>
                          <w:color w:val="444444"/>
                          <w:spacing w:val="15"/>
                          <w:sz w:val="27"/>
                          <w:szCs w:val="27"/>
                        </w:rPr>
                        <w:t>），支持加州的庇護政策。</w:t>
                      </w:r>
                      <w:r>
                        <w:rPr>
                          <w:rStyle w:val="a5"/>
                          <w:rFonts w:ascii="Meiryo" w:eastAsia="Meiryo" w:hAnsi="Meiryo" w:cs="Meiryo" w:hint="eastAsia"/>
                          <w:b w:val="0"/>
                          <w:bCs w:val="0"/>
                          <w:color w:val="888888"/>
                          <w:spacing w:val="15"/>
                          <w:sz w:val="27"/>
                          <w:szCs w:val="27"/>
                          <w:u w:val="single"/>
                        </w:rPr>
                        <w:t>川普</w:t>
                      </w:r>
                      <w:r>
                        <w:rPr>
                          <w:rFonts w:ascii="Meiryo" w:eastAsia="Meiryo" w:hAnsi="Meiryo" w:cs="Meiryo" w:hint="eastAsia"/>
                          <w:color w:val="444444"/>
                          <w:spacing w:val="15"/>
                          <w:sz w:val="27"/>
                          <w:szCs w:val="27"/>
                        </w:rPr>
                        <w:t>這份陳述意見支持加州對三部州法的捍衛。認為加州聚焦全州和地方的資源而非順從聯邦的移民法律來加強執法，以保護全州居民的健康、福利和安全。這些法律反映整個州的地方官員的判斷，即無論移民身份如何，庇護政策幫助警局加強整個社區的安全，讓居民舉報犯罪和目擊情況。</w:t>
                      </w:r>
                    </w:p>
                    <w:p w:rsidR="00E618FD" w:rsidRDefault="00E618FD" w:rsidP="00E618FD">
                      <w:pPr>
                        <w:pStyle w:val="Web"/>
                        <w:shd w:val="clear" w:color="auto" w:fill="FFFFFF"/>
                        <w:spacing w:before="300" w:beforeAutospacing="0" w:after="300" w:afterAutospacing="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陳述意見說，多元化社區能平等的參與公民生活，不僅意味著更安全，而且更健康，更繁榮。透過提交意見，加州各地的地方和官員從最大的縣到最小的城市，都表明他們支持更有效的警務安排和合理的公共政策。</w:t>
                      </w:r>
                    </w:p>
                    <w:p w:rsidR="00E618FD" w:rsidRDefault="00E618FD" w:rsidP="00E618FD">
                      <w:pPr>
                        <w:pStyle w:val="Web"/>
                        <w:shd w:val="clear" w:color="auto" w:fill="FFFFFF"/>
                        <w:spacing w:before="300" w:beforeAutospacing="0" w:after="300" w:afterAutospacing="0"/>
                        <w:jc w:val="both"/>
                        <w:rPr>
                          <w:rFonts w:ascii="Meiryo" w:eastAsia="Meiryo" w:hAnsi="Meiryo" w:cs="Meiryo" w:hint="eastAsia"/>
                          <w:color w:val="444444"/>
                          <w:spacing w:val="15"/>
                          <w:sz w:val="27"/>
                          <w:szCs w:val="27"/>
                        </w:rPr>
                      </w:pPr>
                      <w:r>
                        <w:rPr>
                          <w:rFonts w:ascii="Meiryo" w:eastAsia="Meiryo" w:hAnsi="Meiryo" w:cs="Meiryo" w:hint="eastAsia"/>
                          <w:color w:val="444444"/>
                          <w:spacing w:val="15"/>
                          <w:sz w:val="27"/>
                          <w:szCs w:val="27"/>
                        </w:rPr>
                        <w:t>22個地方政府機構包括：阿拉米達縣、</w:t>
                      </w:r>
                      <w:hyperlink r:id="rId8" w:history="1">
                        <w:r>
                          <w:rPr>
                            <w:rStyle w:val="a5"/>
                            <w:rFonts w:ascii="Meiryo" w:eastAsia="Meiryo" w:hAnsi="Meiryo" w:cs="Meiryo" w:hint="eastAsia"/>
                            <w:b w:val="0"/>
                            <w:bCs w:val="0"/>
                            <w:color w:val="888888"/>
                            <w:spacing w:val="15"/>
                            <w:sz w:val="27"/>
                            <w:szCs w:val="27"/>
                            <w:u w:val="single"/>
                          </w:rPr>
                          <w:t>柏克萊</w:t>
                        </w:r>
                      </w:hyperlink>
                      <w:r>
                        <w:rPr>
                          <w:rFonts w:ascii="Meiryo" w:eastAsia="Meiryo" w:hAnsi="Meiryo" w:cs="Meiryo" w:hint="eastAsia"/>
                          <w:color w:val="444444"/>
                          <w:spacing w:val="15"/>
                          <w:sz w:val="27"/>
                          <w:szCs w:val="27"/>
                        </w:rPr>
                        <w:t>市、艾伯尼市、列治文市、聖荷西市及聖他克魯茲縣等。</w:t>
                      </w:r>
                    </w:p>
                    <w:p w:rsidR="00E618FD" w:rsidRPr="00E618FD" w:rsidRDefault="00E618FD" w:rsidP="00E618FD">
                      <w:pPr>
                        <w:jc w:val="center"/>
                      </w:pPr>
                    </w:p>
                  </w:txbxContent>
                </v:textbox>
              </v:rect>
            </w:pict>
          </mc:Fallback>
        </mc:AlternateContent>
      </w:r>
      <w:r>
        <w:rPr>
          <w:rFonts w:ascii="標楷體" w:eastAsia="標楷體" w:hAnsi="標楷體" w:hint="eastAsia"/>
        </w:rPr>
        <w:t>壹</w:t>
      </w:r>
      <w:r>
        <w:rPr>
          <w:rFonts w:ascii="新細明體" w:eastAsia="新細明體" w:hAnsi="新細明體" w:hint="eastAsia"/>
        </w:rPr>
        <w:t>、根據2048.5.21聯合報網路新聞指出：</w:t>
      </w:r>
    </w:p>
    <w:p w:rsidR="00E618FD" w:rsidRDefault="00E618FD" w:rsidP="00E618FD">
      <w:pPr>
        <w:ind w:firstLineChars="236" w:firstLine="566"/>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E618FD" w:rsidRDefault="00E618FD" w:rsidP="00E618FD">
      <w:pPr>
        <w:rPr>
          <w:rFonts w:ascii="標楷體" w:eastAsia="標楷體" w:hAnsi="標楷體"/>
        </w:rPr>
      </w:pPr>
    </w:p>
    <w:p w:rsidR="00000130" w:rsidRPr="00E618FD" w:rsidRDefault="00000130" w:rsidP="00E618FD">
      <w:pPr>
        <w:rPr>
          <w:rFonts w:ascii="標楷體" w:eastAsia="標楷體" w:hAnsi="標楷體"/>
        </w:rPr>
      </w:pPr>
    </w:p>
    <w:p w:rsidR="005F6456" w:rsidRPr="006D3104" w:rsidRDefault="005F6456" w:rsidP="00000130">
      <w:pPr>
        <w:rPr>
          <w:rFonts w:ascii="標楷體" w:eastAsia="標楷體" w:hAnsi="標楷體"/>
        </w:rPr>
      </w:pPr>
    </w:p>
    <w:p w:rsidR="00000130" w:rsidRPr="006D3104" w:rsidRDefault="00000130" w:rsidP="00000130">
      <w:pPr>
        <w:pStyle w:val="a4"/>
        <w:numPr>
          <w:ilvl w:val="0"/>
          <w:numId w:val="2"/>
        </w:numPr>
        <w:ind w:leftChars="0"/>
        <w:rPr>
          <w:rFonts w:ascii="標楷體" w:eastAsia="標楷體" w:hAnsi="標楷體"/>
        </w:rPr>
      </w:pPr>
      <w:r w:rsidRPr="006D3104">
        <w:rPr>
          <w:rFonts w:ascii="標楷體" w:eastAsia="標楷體" w:hAnsi="標楷體" w:hint="eastAsia"/>
        </w:rPr>
        <w:t>觀察印度人口最多地理區為何</w:t>
      </w:r>
    </w:p>
    <w:p w:rsidR="00000130" w:rsidRPr="006D3104" w:rsidRDefault="00000130" w:rsidP="00000130">
      <w:pPr>
        <w:rPr>
          <w:rFonts w:ascii="標楷體" w:eastAsia="標楷體" w:hAnsi="標楷體"/>
        </w:rPr>
      </w:pPr>
    </w:p>
    <w:p w:rsidR="006D3104" w:rsidRPr="006D3104" w:rsidRDefault="00BE2816" w:rsidP="006D3104">
      <w:pPr>
        <w:rPr>
          <w:rFonts w:ascii="標楷體" w:eastAsia="標楷體" w:hAnsi="標楷體"/>
        </w:rPr>
      </w:pPr>
      <w:r>
        <w:rPr>
          <w:rFonts w:ascii="標楷體" w:eastAsia="標楷體" w:hAnsi="標楷體" w:hint="eastAsia"/>
        </w:rPr>
        <w:t>二</w:t>
      </w:r>
      <w:r>
        <w:rPr>
          <w:rFonts w:ascii="新細明體" w:eastAsia="新細明體" w:hAnsi="新細明體" w:hint="eastAsia"/>
        </w:rPr>
        <w:t>、請用色筆畫出加州的位置</w:t>
      </w:r>
    </w:p>
    <w:p w:rsidR="006D3104" w:rsidRPr="006D3104" w:rsidRDefault="00BE2816" w:rsidP="006D3104">
      <w:pPr>
        <w:rPr>
          <w:rFonts w:ascii="標楷體" w:eastAsia="標楷體" w:hAnsi="標楷體"/>
        </w:rPr>
      </w:pPr>
      <w:r>
        <w:rPr>
          <w:noProof/>
        </w:rPr>
        <w:drawing>
          <wp:anchor distT="0" distB="0" distL="114300" distR="114300" simplePos="0" relativeHeight="251660288" behindDoc="0" locked="0" layoutInCell="1" allowOverlap="1">
            <wp:simplePos x="0" y="0"/>
            <wp:positionH relativeFrom="column">
              <wp:posOffset>73274</wp:posOffset>
            </wp:positionH>
            <wp:positionV relativeFrom="paragraph">
              <wp:posOffset>242570</wp:posOffset>
            </wp:positionV>
            <wp:extent cx="4979035" cy="3133725"/>
            <wp:effectExtent l="0" t="0" r="0" b="9525"/>
            <wp:wrapThrough wrapText="bothSides">
              <wp:wrapPolygon edited="0">
                <wp:start x="0" y="0"/>
                <wp:lineTo x="0" y="21534"/>
                <wp:lineTo x="21487" y="21534"/>
                <wp:lineTo x="21487" y="0"/>
                <wp:lineTo x="0" y="0"/>
              </wp:wrapPolygon>
            </wp:wrapThrough>
            <wp:docPr id="1" name="圖片 1" descr="ãç¾åå°åç©ºç½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ç¾åå°åç©ºç½ãçåçæå°çµæ"/>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903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3104" w:rsidRPr="006D3104" w:rsidRDefault="006D3104" w:rsidP="006D3104">
      <w:pPr>
        <w:rPr>
          <w:rFonts w:ascii="標楷體" w:eastAsia="標楷體" w:hAnsi="標楷體"/>
        </w:rPr>
      </w:pPr>
    </w:p>
    <w:p w:rsidR="005F6456" w:rsidRPr="006D3104" w:rsidRDefault="00BE2816" w:rsidP="006D3104">
      <w:pPr>
        <w:rPr>
          <w:rFonts w:ascii="標楷體" w:eastAsia="標楷體" w:hAnsi="標楷體"/>
        </w:rPr>
      </w:pPr>
      <w:r>
        <w:rPr>
          <w:rFonts w:ascii="標楷體" w:eastAsia="標楷體" w:hAnsi="標楷體" w:hint="eastAsia"/>
        </w:rPr>
        <w:t>三、這些移民人口在人口上是屬於自然增加還是社會增加?</w:t>
      </w:r>
    </w:p>
    <w:p w:rsidR="006D3104" w:rsidRPr="006D3104" w:rsidRDefault="006D3104" w:rsidP="006D3104">
      <w:pPr>
        <w:rPr>
          <w:rFonts w:ascii="標楷體" w:eastAsia="標楷體" w:hAnsi="標楷體" w:hint="eastAsia"/>
        </w:rPr>
      </w:pPr>
    </w:p>
    <w:p w:rsidR="006D3104" w:rsidRPr="006D3104" w:rsidRDefault="00BE2816" w:rsidP="006D3104">
      <w:pPr>
        <w:rPr>
          <w:rFonts w:ascii="標楷體" w:eastAsia="標楷體" w:hAnsi="標楷體"/>
        </w:rPr>
      </w:pPr>
      <w:r>
        <w:rPr>
          <w:rFonts w:ascii="標楷體" w:eastAsia="標楷體" w:hAnsi="標楷體" w:hint="eastAsia"/>
        </w:rPr>
        <w:t>四、請寫出這些移民人口對美國帶來的好處或是壞處?</w:t>
      </w:r>
    </w:p>
    <w:p w:rsidR="006D3104" w:rsidRPr="00BE2816" w:rsidRDefault="00BE2816" w:rsidP="006D3104">
      <w:pPr>
        <w:rPr>
          <w:rFonts w:ascii="標楷體" w:eastAsia="標楷體" w:hAnsi="標楷體"/>
        </w:rPr>
      </w:pPr>
      <w:r>
        <w:rPr>
          <w:rFonts w:ascii="標楷體" w:eastAsia="標楷體" w:hAnsi="標楷體" w:hint="eastAsia"/>
        </w:rPr>
        <w:t>優點</w:t>
      </w:r>
      <w:r>
        <w:rPr>
          <w:rFonts w:ascii="新細明體" w:eastAsia="新細明體" w:hAnsi="新細明體" w:hint="eastAsia"/>
        </w:rPr>
        <w:t>：</w:t>
      </w:r>
      <w:bookmarkStart w:id="0" w:name="_GoBack"/>
      <w:bookmarkEnd w:id="0"/>
    </w:p>
    <w:p w:rsidR="006D3104" w:rsidRPr="006D3104" w:rsidRDefault="00BE2816" w:rsidP="006D3104">
      <w:pPr>
        <w:rPr>
          <w:rFonts w:ascii="標楷體" w:eastAsia="標楷體" w:hAnsi="標楷體"/>
        </w:rPr>
      </w:pPr>
      <w:r>
        <w:rPr>
          <w:rFonts w:ascii="標楷體" w:eastAsia="標楷體" w:hAnsi="標楷體" w:hint="eastAsia"/>
        </w:rPr>
        <w:t>缺點</w:t>
      </w:r>
      <w:r>
        <w:rPr>
          <w:rFonts w:ascii="新細明體" w:eastAsia="新細明體" w:hAnsi="新細明體" w:hint="eastAsia"/>
        </w:rPr>
        <w:t>：</w:t>
      </w:r>
    </w:p>
    <w:p w:rsidR="004D2D0D" w:rsidRPr="006D3104" w:rsidRDefault="006D3104" w:rsidP="004D2D0D">
      <w:pPr>
        <w:pStyle w:val="Web"/>
        <w:shd w:val="clear" w:color="auto" w:fill="FFFFFF"/>
        <w:spacing w:before="0" w:beforeAutospacing="0" w:after="0" w:afterAutospacing="0" w:line="240" w:lineRule="atLeast"/>
        <w:rPr>
          <w:rFonts w:ascii="標楷體" w:eastAsia="標楷體" w:hAnsi="標楷體"/>
          <w:color w:val="222222"/>
        </w:rPr>
      </w:pPr>
      <w:r w:rsidRPr="006D3104">
        <w:rPr>
          <w:rFonts w:ascii="標楷體" w:eastAsia="標楷體" w:hAnsi="標楷體" w:hint="eastAsia"/>
          <w:color w:val="222222"/>
        </w:rPr>
        <w:lastRenderedPageBreak/>
        <w:t>五、印度人口是全世界第二大﹐請配合</w:t>
      </w:r>
      <w:r>
        <w:rPr>
          <w:rFonts w:ascii="標楷體" w:eastAsia="標楷體" w:hAnsi="標楷體" w:hint="eastAsia"/>
          <w:color w:val="222222"/>
        </w:rPr>
        <w:t>右圖的人口金字塔圖寫出你認為的印度人口問題</w:t>
      </w:r>
    </w:p>
    <w:p w:rsidR="004D2D0D" w:rsidRPr="006D3104" w:rsidRDefault="006D3104"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一</w:t>
      </w:r>
      <w:r>
        <w:rPr>
          <w:rFonts w:ascii="Poor Richard" w:eastAsia="標楷體" w:hAnsi="Poor Richard"/>
          <w:color w:val="222222"/>
        </w:rPr>
        <w:t>)</w:t>
      </w:r>
    </w:p>
    <w:p w:rsidR="004D2D0D" w:rsidRPr="006D3104" w:rsidRDefault="006D3104"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二</w:t>
      </w:r>
      <w:r>
        <w:rPr>
          <w:rFonts w:ascii="Poor Richard" w:eastAsia="標楷體" w:hAnsi="Poor Richard"/>
          <w:color w:val="222222"/>
        </w:rPr>
        <w:t>)</w:t>
      </w:r>
    </w:p>
    <w:p w:rsidR="004D2D0D" w:rsidRDefault="006D3104"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三</w:t>
      </w:r>
      <w:r>
        <w:rPr>
          <w:rFonts w:ascii="Poor Richard" w:eastAsia="標楷體" w:hAnsi="Poor Richard"/>
          <w:color w:val="222222"/>
        </w:rPr>
        <w:t>)</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6D3104"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標楷體" w:eastAsia="標楷體" w:hAnsi="標楷體" w:hint="eastAsia"/>
          <w:color w:val="222222"/>
        </w:rPr>
        <w:t>六</w:t>
      </w:r>
      <w:r>
        <w:rPr>
          <w:rFonts w:hint="eastAsia"/>
          <w:color w:val="222222"/>
        </w:rPr>
        <w:t>、</w:t>
      </w:r>
      <w:r>
        <w:rPr>
          <w:rFonts w:ascii="標楷體" w:eastAsia="標楷體" w:hAnsi="標楷體" w:hint="eastAsia"/>
          <w:color w:val="222222"/>
        </w:rPr>
        <w:t>請就你寫的印度人口問題找出可能的解決方法</w:t>
      </w:r>
    </w:p>
    <w:p w:rsidR="006D3104" w:rsidRPr="006D3104" w:rsidRDefault="006D3104" w:rsidP="006D3104">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一</w:t>
      </w:r>
      <w:r>
        <w:rPr>
          <w:rFonts w:ascii="Poor Richard" w:eastAsia="標楷體" w:hAnsi="Poor Richard"/>
          <w:color w:val="222222"/>
        </w:rPr>
        <w:t>)</w:t>
      </w:r>
    </w:p>
    <w:p w:rsidR="006D3104" w:rsidRPr="006D3104" w:rsidRDefault="006D3104" w:rsidP="006D3104">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二</w:t>
      </w:r>
      <w:r>
        <w:rPr>
          <w:rFonts w:ascii="Poor Richard" w:eastAsia="標楷體" w:hAnsi="Poor Richard"/>
          <w:color w:val="222222"/>
        </w:rPr>
        <w:t>)</w:t>
      </w:r>
    </w:p>
    <w:p w:rsidR="006D3104" w:rsidRDefault="006D3104" w:rsidP="006D3104">
      <w:pPr>
        <w:pStyle w:val="Web"/>
        <w:shd w:val="clear" w:color="auto" w:fill="FFFFFF"/>
        <w:spacing w:before="0" w:beforeAutospacing="0" w:after="0" w:afterAutospacing="0" w:line="240" w:lineRule="atLeast"/>
        <w:rPr>
          <w:rFonts w:ascii="標楷體" w:eastAsia="標楷體" w:hAnsi="標楷體"/>
          <w:color w:val="222222"/>
        </w:rPr>
      </w:pPr>
      <w:r>
        <w:rPr>
          <w:rFonts w:ascii="Poor Richard" w:eastAsia="標楷體" w:hAnsi="Poor Richard"/>
          <w:color w:val="222222"/>
        </w:rPr>
        <w:t>(</w:t>
      </w:r>
      <w:r>
        <w:rPr>
          <w:rFonts w:ascii="Poor Richard" w:eastAsia="標楷體" w:hAnsi="Poor Richard" w:hint="eastAsia"/>
          <w:color w:val="222222"/>
        </w:rPr>
        <w:t>三</w:t>
      </w:r>
      <w:r>
        <w:rPr>
          <w:rFonts w:ascii="Poor Richard" w:eastAsia="標楷體" w:hAnsi="Poor Richard"/>
          <w:color w:val="222222"/>
        </w:rPr>
        <w:t>)</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P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sectPr w:rsidR="004D2D0D" w:rsidRPr="004D2D0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eiryo">
    <w:panose1 w:val="020B0604030504040204"/>
    <w:charset w:val="80"/>
    <w:family w:val="swiss"/>
    <w:pitch w:val="variable"/>
    <w:sig w:usb0="E10102FF" w:usb1="EAC7FFFF" w:usb2="00010012" w:usb3="00000000" w:csb0="0002009F" w:csb1="00000000"/>
  </w:font>
  <w:font w:name="Poor Richard">
    <w:panose1 w:val="02080502050505020702"/>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BD1F99"/>
    <w:multiLevelType w:val="hybridMultilevel"/>
    <w:tmpl w:val="4BD80E3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7CD39E2"/>
    <w:multiLevelType w:val="hybridMultilevel"/>
    <w:tmpl w:val="836C298A"/>
    <w:lvl w:ilvl="0" w:tplc="44864932">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456"/>
    <w:rsid w:val="00000130"/>
    <w:rsid w:val="002227F7"/>
    <w:rsid w:val="004D2D0D"/>
    <w:rsid w:val="005F6456"/>
    <w:rsid w:val="006D3104"/>
    <w:rsid w:val="0098697B"/>
    <w:rsid w:val="00BE2816"/>
    <w:rsid w:val="00D466E0"/>
    <w:rsid w:val="00E618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5E3E"/>
  <w15:chartTrackingRefBased/>
  <w15:docId w15:val="{9C529571-335B-431C-9985-3C1ACC0A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5F6456"/>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semiHidden/>
    <w:unhideWhenUsed/>
    <w:rsid w:val="005F6456"/>
    <w:rPr>
      <w:color w:val="0000FF"/>
      <w:u w:val="single"/>
    </w:rPr>
  </w:style>
  <w:style w:type="paragraph" w:styleId="a4">
    <w:name w:val="List Paragraph"/>
    <w:basedOn w:val="a"/>
    <w:uiPriority w:val="34"/>
    <w:qFormat/>
    <w:rsid w:val="00000130"/>
    <w:pPr>
      <w:ind w:leftChars="200" w:left="480"/>
    </w:pPr>
  </w:style>
  <w:style w:type="character" w:styleId="a5">
    <w:name w:val="Strong"/>
    <w:basedOn w:val="a0"/>
    <w:uiPriority w:val="22"/>
    <w:qFormat/>
    <w:rsid w:val="00E61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20528">
      <w:bodyDiv w:val="1"/>
      <w:marLeft w:val="0"/>
      <w:marRight w:val="0"/>
      <w:marTop w:val="0"/>
      <w:marBottom w:val="0"/>
      <w:divBdr>
        <w:top w:val="none" w:sz="0" w:space="0" w:color="auto"/>
        <w:left w:val="none" w:sz="0" w:space="0" w:color="auto"/>
        <w:bottom w:val="none" w:sz="0" w:space="0" w:color="auto"/>
        <w:right w:val="none" w:sz="0" w:space="0" w:color="auto"/>
      </w:divBdr>
    </w:div>
    <w:div w:id="12660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n.com/search/tagging/2/%E6%9F%8F%E5%85%8B%E8%90%8A" TargetMode="External"/><Relationship Id="rId3" Type="http://schemas.openxmlformats.org/officeDocument/2006/relationships/settings" Target="settings.xml"/><Relationship Id="rId7" Type="http://schemas.openxmlformats.org/officeDocument/2006/relationships/hyperlink" Target="https://udn.com/search/tagging/2/%E7%A7%BB%E6%B0%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dn.com/search/tagging/2/%E6%9F%8F%E5%85%8B%E8%90%8A" TargetMode="External"/><Relationship Id="rId11" Type="http://schemas.openxmlformats.org/officeDocument/2006/relationships/theme" Target="theme/theme1.xml"/><Relationship Id="rId5" Type="http://schemas.openxmlformats.org/officeDocument/2006/relationships/hyperlink" Target="https://udn.com/search/tagging/2/%E7%A7%BB%E6%B0%9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辦公室</cp:lastModifiedBy>
  <cp:revision>3</cp:revision>
  <dcterms:created xsi:type="dcterms:W3CDTF">2018-05-28T02:33:00Z</dcterms:created>
  <dcterms:modified xsi:type="dcterms:W3CDTF">2018-05-28T03:29:00Z</dcterms:modified>
</cp:coreProperties>
</file>